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Rámcová smlouva o centralizovaném zadávání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(dále jen „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smlouva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“)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uzavřená v souladu s ustanovením § 1746 odst. 2 zákona č. 89/2012 Sb., občanského zákoníku, ve znění pozdějších předpisů (dále jen „OZ“) a ve smyslu ustanovení § 9 odst. 1 písm. b) zákona č. 134/2016 Sb., o zadávání veřejných zakázek, ve znění pozdějších předpisů (dále jen „ZZVZ“)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mezi následujícími smluvními stranami:</w:t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907"/>
          <w:tab w:val="left" w:leader="none" w:pos="1134"/>
          <w:tab w:val="left" w:leader="none" w:pos="1361"/>
          <w:tab w:val="left" w:leader="none" w:pos="1588"/>
          <w:tab w:val="left" w:leader="none" w:pos="1814"/>
          <w:tab w:val="left" w:leader="none" w:pos="2041"/>
          <w:tab w:val="left" w:leader="none" w:pos="2268"/>
        </w:tabs>
        <w:spacing w:after="0" w:before="260" w:line="26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Technologická agentura České republiky</w:t>
      </w: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Layout w:type="fixed"/>
        <w:tblLook w:val="0000"/>
      </w:tblPr>
      <w:tblGrid>
        <w:gridCol w:w="4080"/>
        <w:gridCol w:w="4980"/>
        <w:tblGridChange w:id="0">
          <w:tblGrid>
            <w:gridCol w:w="4080"/>
            <w:gridCol w:w="4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  <w:tab w:val="left" w:leader="none" w:pos="454"/>
                <w:tab w:val="left" w:leader="none" w:pos="680"/>
                <w:tab w:val="left" w:leader="none" w:pos="907"/>
                <w:tab w:val="left" w:leader="none" w:pos="1134"/>
                <w:tab w:val="left" w:leader="none" w:pos="1361"/>
                <w:tab w:val="left" w:leader="none" w:pos="1588"/>
                <w:tab w:val="left" w:leader="none" w:pos="1814"/>
                <w:tab w:val="left" w:leader="none" w:pos="2041"/>
                <w:tab w:val="left" w:leader="none" w:pos="2268"/>
              </w:tabs>
              <w:spacing w:after="0" w:before="0" w:line="26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Sídlo: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  <w:tab w:val="left" w:leader="none" w:pos="454"/>
                <w:tab w:val="left" w:leader="none" w:pos="680"/>
                <w:tab w:val="left" w:leader="none" w:pos="907"/>
                <w:tab w:val="left" w:leader="none" w:pos="1134"/>
                <w:tab w:val="left" w:leader="none" w:pos="1361"/>
                <w:tab w:val="left" w:leader="none" w:pos="1588"/>
                <w:tab w:val="left" w:leader="none" w:pos="1814"/>
                <w:tab w:val="left" w:leader="none" w:pos="2041"/>
                <w:tab w:val="left" w:leader="none" w:pos="2268"/>
              </w:tabs>
              <w:spacing w:after="0" w:before="0" w:line="26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Evropská 1692/37, Dejvice, 160 00 Praha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  <w:tab w:val="left" w:leader="none" w:pos="454"/>
                <w:tab w:val="left" w:leader="none" w:pos="680"/>
                <w:tab w:val="left" w:leader="none" w:pos="907"/>
                <w:tab w:val="left" w:leader="none" w:pos="1134"/>
                <w:tab w:val="left" w:leader="none" w:pos="1361"/>
                <w:tab w:val="left" w:leader="none" w:pos="1588"/>
                <w:tab w:val="left" w:leader="none" w:pos="1814"/>
                <w:tab w:val="left" w:leader="none" w:pos="2041"/>
                <w:tab w:val="left" w:leader="none" w:pos="2268"/>
              </w:tabs>
              <w:spacing w:after="0" w:before="0" w:line="26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IČO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  <w:tab w:val="left" w:leader="none" w:pos="454"/>
                <w:tab w:val="left" w:leader="none" w:pos="680"/>
                <w:tab w:val="left" w:leader="none" w:pos="907"/>
                <w:tab w:val="left" w:leader="none" w:pos="1134"/>
                <w:tab w:val="left" w:leader="none" w:pos="1361"/>
                <w:tab w:val="left" w:leader="none" w:pos="1588"/>
                <w:tab w:val="left" w:leader="none" w:pos="1814"/>
                <w:tab w:val="left" w:leader="none" w:pos="2041"/>
                <w:tab w:val="left" w:leader="none" w:pos="2268"/>
              </w:tabs>
              <w:spacing w:after="0" w:before="0" w:line="26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72050365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  <w:tab w:val="left" w:leader="none" w:pos="454"/>
                <w:tab w:val="left" w:leader="none" w:pos="680"/>
                <w:tab w:val="left" w:leader="none" w:pos="907"/>
                <w:tab w:val="left" w:leader="none" w:pos="1134"/>
                <w:tab w:val="left" w:leader="none" w:pos="1361"/>
                <w:tab w:val="left" w:leader="none" w:pos="1588"/>
                <w:tab w:val="left" w:leader="none" w:pos="1814"/>
                <w:tab w:val="left" w:leader="none" w:pos="2041"/>
                <w:tab w:val="left" w:leader="none" w:pos="2268"/>
              </w:tabs>
              <w:spacing w:after="0" w:before="0" w:line="26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Zastoupená: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  <w:tab w:val="left" w:leader="none" w:pos="454"/>
                <w:tab w:val="left" w:leader="none" w:pos="680"/>
                <w:tab w:val="left" w:leader="none" w:pos="907"/>
                <w:tab w:val="left" w:leader="none" w:pos="1134"/>
                <w:tab w:val="left" w:leader="none" w:pos="1361"/>
                <w:tab w:val="left" w:leader="none" w:pos="1588"/>
                <w:tab w:val="left" w:leader="none" w:pos="1814"/>
                <w:tab w:val="left" w:leader="none" w:pos="2041"/>
                <w:tab w:val="left" w:leader="none" w:pos="2268"/>
              </w:tabs>
              <w:spacing w:after="0" w:before="0" w:line="26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Martinem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Bunčekem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, ředitelem Kanceláře TA ČR</w:t>
            </w:r>
          </w:p>
        </w:tc>
      </w:tr>
    </w:tbl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  <w:tab w:val="left" w:leader="none" w:pos="454"/>
          <w:tab w:val="left" w:leader="none" w:pos="680"/>
          <w:tab w:val="left" w:leader="none" w:pos="907"/>
          <w:tab w:val="left" w:leader="none" w:pos="1134"/>
          <w:tab w:val="left" w:leader="none" w:pos="1361"/>
          <w:tab w:val="left" w:leader="none" w:pos="1588"/>
          <w:tab w:val="left" w:leader="none" w:pos="1814"/>
          <w:tab w:val="left" w:leader="none" w:pos="2041"/>
          <w:tab w:val="left" w:leader="none" w:pos="2268"/>
        </w:tabs>
        <w:spacing w:after="0" w:before="0" w:line="26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  <w:tab w:val="left" w:leader="none" w:pos="454"/>
          <w:tab w:val="left" w:leader="none" w:pos="680"/>
          <w:tab w:val="left" w:leader="none" w:pos="907"/>
          <w:tab w:val="left" w:leader="none" w:pos="1134"/>
          <w:tab w:val="left" w:leader="none" w:pos="1361"/>
          <w:tab w:val="left" w:leader="none" w:pos="1588"/>
          <w:tab w:val="left" w:leader="none" w:pos="1814"/>
          <w:tab w:val="left" w:leader="none" w:pos="2041"/>
          <w:tab w:val="left" w:leader="none" w:pos="2268"/>
        </w:tabs>
        <w:spacing w:after="0" w:before="0" w:line="26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„centrální zadavatel“)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907"/>
          <w:tab w:val="left" w:leader="none" w:pos="1134"/>
          <w:tab w:val="left" w:leader="none" w:pos="1361"/>
          <w:tab w:val="left" w:leader="none" w:pos="1588"/>
          <w:tab w:val="left" w:leader="none" w:pos="1814"/>
          <w:tab w:val="left" w:leader="none" w:pos="2041"/>
          <w:tab w:val="left" w:leader="none" w:pos="2268"/>
        </w:tabs>
        <w:spacing w:after="0" w:before="260" w:line="260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Fonts w:ascii="Georgia" w:cs="Georgia" w:eastAsia="Georgia" w:hAnsi="Georgia"/>
          <w:b w:val="1"/>
          <w:highlight w:val="yellow"/>
          <w:rtl w:val="0"/>
        </w:rPr>
        <w:t xml:space="preserve">Klikněte a doplňte text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Layout w:type="fixed"/>
        <w:tblLook w:val="0000"/>
      </w:tblPr>
      <w:tblGrid>
        <w:gridCol w:w="4155"/>
        <w:gridCol w:w="4905"/>
        <w:tblGridChange w:id="0">
          <w:tblGrid>
            <w:gridCol w:w="4155"/>
            <w:gridCol w:w="49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  <w:tab w:val="left" w:leader="none" w:pos="454"/>
                <w:tab w:val="left" w:leader="none" w:pos="680"/>
                <w:tab w:val="left" w:leader="none" w:pos="907"/>
                <w:tab w:val="left" w:leader="none" w:pos="1134"/>
                <w:tab w:val="left" w:leader="none" w:pos="1361"/>
                <w:tab w:val="left" w:leader="none" w:pos="1588"/>
                <w:tab w:val="left" w:leader="none" w:pos="1814"/>
                <w:tab w:val="left" w:leader="none" w:pos="2041"/>
                <w:tab w:val="left" w:leader="none" w:pos="2268"/>
              </w:tabs>
              <w:spacing w:after="0" w:before="0" w:line="26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Sídlo: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  <w:tab w:val="left" w:leader="none" w:pos="454"/>
                <w:tab w:val="left" w:leader="none" w:pos="680"/>
                <w:tab w:val="left" w:leader="none" w:pos="907"/>
                <w:tab w:val="left" w:leader="none" w:pos="1134"/>
                <w:tab w:val="left" w:leader="none" w:pos="1361"/>
                <w:tab w:val="left" w:leader="none" w:pos="1588"/>
                <w:tab w:val="left" w:leader="none" w:pos="1814"/>
                <w:tab w:val="left" w:leader="none" w:pos="2041"/>
                <w:tab w:val="left" w:leader="none" w:pos="2268"/>
              </w:tabs>
              <w:spacing w:after="0" w:before="0" w:line="26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highlight w:val="yellow"/>
                <w:rtl w:val="0"/>
              </w:rPr>
              <w:t xml:space="preserve">Klikněte a doplňte text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  <w:tab w:val="left" w:leader="none" w:pos="454"/>
                <w:tab w:val="left" w:leader="none" w:pos="680"/>
                <w:tab w:val="left" w:leader="none" w:pos="907"/>
                <w:tab w:val="left" w:leader="none" w:pos="1134"/>
                <w:tab w:val="left" w:leader="none" w:pos="1361"/>
                <w:tab w:val="left" w:leader="none" w:pos="1588"/>
                <w:tab w:val="left" w:leader="none" w:pos="1814"/>
                <w:tab w:val="left" w:leader="none" w:pos="2041"/>
                <w:tab w:val="left" w:leader="none" w:pos="2268"/>
              </w:tabs>
              <w:spacing w:after="0" w:before="0" w:line="26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ČO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  <w:tab w:val="left" w:leader="none" w:pos="454"/>
                <w:tab w:val="left" w:leader="none" w:pos="680"/>
                <w:tab w:val="left" w:leader="none" w:pos="907"/>
                <w:tab w:val="left" w:leader="none" w:pos="1134"/>
                <w:tab w:val="left" w:leader="none" w:pos="1361"/>
                <w:tab w:val="left" w:leader="none" w:pos="1588"/>
                <w:tab w:val="left" w:leader="none" w:pos="1814"/>
                <w:tab w:val="left" w:leader="none" w:pos="2041"/>
                <w:tab w:val="left" w:leader="none" w:pos="2268"/>
              </w:tabs>
              <w:spacing w:after="0" w:before="0" w:line="26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highlight w:val="yellow"/>
                <w:rtl w:val="0"/>
              </w:rPr>
              <w:t xml:space="preserve">Klikněte a doplňte text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  <w:tab w:val="left" w:leader="none" w:pos="454"/>
                <w:tab w:val="left" w:leader="none" w:pos="680"/>
                <w:tab w:val="left" w:leader="none" w:pos="907"/>
                <w:tab w:val="left" w:leader="none" w:pos="1134"/>
                <w:tab w:val="left" w:leader="none" w:pos="1361"/>
                <w:tab w:val="left" w:leader="none" w:pos="1588"/>
                <w:tab w:val="left" w:leader="none" w:pos="1814"/>
                <w:tab w:val="left" w:leader="none" w:pos="2041"/>
                <w:tab w:val="left" w:leader="none" w:pos="2268"/>
              </w:tabs>
              <w:spacing w:after="0" w:before="0" w:line="26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Zastoupená: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  <w:tab w:val="left" w:leader="none" w:pos="454"/>
                <w:tab w:val="left" w:leader="none" w:pos="680"/>
                <w:tab w:val="left" w:leader="none" w:pos="907"/>
                <w:tab w:val="left" w:leader="none" w:pos="1134"/>
                <w:tab w:val="left" w:leader="none" w:pos="1361"/>
                <w:tab w:val="left" w:leader="none" w:pos="1588"/>
                <w:tab w:val="left" w:leader="none" w:pos="1814"/>
                <w:tab w:val="left" w:leader="none" w:pos="2041"/>
                <w:tab w:val="left" w:leader="none" w:pos="2268"/>
              </w:tabs>
              <w:spacing w:after="0" w:before="0" w:line="26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highlight w:val="yellow"/>
                <w:rtl w:val="0"/>
              </w:rPr>
              <w:t xml:space="preserve">Klikněte a doplňte text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  <w:tab w:val="left" w:leader="none" w:pos="454"/>
          <w:tab w:val="left" w:leader="none" w:pos="680"/>
          <w:tab w:val="left" w:leader="none" w:pos="907"/>
          <w:tab w:val="left" w:leader="none" w:pos="1134"/>
          <w:tab w:val="left" w:leader="none" w:pos="1361"/>
          <w:tab w:val="left" w:leader="none" w:pos="1588"/>
          <w:tab w:val="left" w:leader="none" w:pos="1814"/>
          <w:tab w:val="left" w:leader="none" w:pos="2041"/>
          <w:tab w:val="left" w:leader="none" w:pos="2268"/>
        </w:tabs>
        <w:spacing w:after="0" w:before="0" w:line="26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  <w:tab w:val="left" w:leader="none" w:pos="454"/>
          <w:tab w:val="left" w:leader="none" w:pos="680"/>
          <w:tab w:val="left" w:leader="none" w:pos="907"/>
          <w:tab w:val="left" w:leader="none" w:pos="1134"/>
          <w:tab w:val="left" w:leader="none" w:pos="1361"/>
          <w:tab w:val="left" w:leader="none" w:pos="1588"/>
          <w:tab w:val="left" w:leader="none" w:pos="1814"/>
          <w:tab w:val="left" w:leader="none" w:pos="2041"/>
          <w:tab w:val="left" w:leader="none" w:pos="2268"/>
        </w:tabs>
        <w:spacing w:after="0" w:before="0" w:line="26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„pověřující zadavatel“)</w:t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  <w:tab w:val="left" w:leader="none" w:pos="454"/>
          <w:tab w:val="left" w:leader="none" w:pos="680"/>
          <w:tab w:val="left" w:leader="none" w:pos="907"/>
          <w:tab w:val="left" w:leader="none" w:pos="1134"/>
          <w:tab w:val="left" w:leader="none" w:pos="1361"/>
          <w:tab w:val="left" w:leader="none" w:pos="1588"/>
          <w:tab w:val="left" w:leader="none" w:pos="1814"/>
          <w:tab w:val="left" w:leader="none" w:pos="2041"/>
          <w:tab w:val="left" w:leader="none" w:pos="2268"/>
        </w:tabs>
        <w:spacing w:after="0" w:before="0" w:line="26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(společně též jako „smluvní strany“)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</w:t>
      </w:r>
    </w:p>
    <w:p w:rsidR="00000000" w:rsidDel="00000000" w:rsidP="00000000" w:rsidRDefault="00000000" w:rsidRPr="00000000" w14:paraId="0000001D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Předmět a účel smlouvy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vymezuje podmínky týkající se zadávání veřejných zakázek v rámci centralizovaného zadávání veřejných zakázek v dynamickém nákupním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pro služby spojené s odborným rozvojem zaměstnanců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Předmětem této smlouvy je úprava vzájemných práv a povinností centrálního zadavatele a pověřujícího zadavatele ve smyslu ustanovení § 9 odst. 5 ZZVZ.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Účelem této smlouvy je úprava práv a povinností smluvních stran souvisejících s centralizovaným zadáváním veřejných zakázek, které ve smyslu ustanovení § 9 odst. 1 písm. b) ZZVZ provede pověřující zadavatel tak, že vždy na své náklady provede příslušné zadávací řízení v dynamickém nákupním systému systémové číslo NEN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N006/25/V00031517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dynamický nákupní systém (DNS) pro služby spojené s odborným rozvojem zaměstnanců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na profilu centrálního zadavatele NEN.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II.</w:t>
      </w:r>
    </w:p>
    <w:p w:rsidR="00000000" w:rsidDel="00000000" w:rsidP="00000000" w:rsidRDefault="00000000" w:rsidRPr="00000000" w14:paraId="00000026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Podmínky plnění smlouvy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jsou povinny při stanovení zadávacích podmínek veřejných zakázek i plnění jiných povinností dle této smlouvy postupovat tak, aby byly dodrženy zásady účelného, efektivního a hospodárného vynakládání veřejných prostředků.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Centrální zadavatel je oprávněn využít údaje a relevantní informace předané pověřujícím zadavatelem pouze pro výkon činností spojených s centralizovaným zadáváním veřejných zakázek podle této smlouvy.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Centrální zadavatel je oprávněn měnit nebo doplňovat zadávací dokumentaci dle ust. § 139a ZZVZ.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jsou povinny dodržovat mlčenlivost, a to ve vztahu ke všem údajům 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informacím, které se navzájem dozví, a které nejsou určeny k uveřejnění či předmětem poskytované součinnosti s externím konzultantem.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se zavazují vzájemně spolupracovat a poskytovat si veškeré informace potřebné pro řádné provádění centralizovaného zadávání veřejných zakázek podle této smlouvy.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Pověřující zadavatel se zavazuje informovat centrálního zadavatele o úmyslu zadávání veřejné zakázky před zadáním každé takové veřejné zakázky v rámci dynamického nákupního systému, který je předmětem této smlouvy. Centrální zadavatel je oprávněn poskytnout pověřujícímu zadavateli metodickou podporu či konzultace k přípravě a průběhu tohoto zadání, pokud o ně pověřující zadavatel požádá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jsou povinny se vzájemně písemně informovat o veškerých skutečnostech, které jsou nebo mohou být důležité pro řádné plnění této smlouvy.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jsou povinny plnit své závazky vyplývající z této smlouvy takovým způsobem, aby nedocházelo k prodlení s dodržováním zákonných či sjednaných termínů.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Kontaktní osobou centrálního za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davatele je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Jakub Požárek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email: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jakub.pozarek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@tacr.cz, tel.č.: 734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240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980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Kontaktní osobou pověřujícího zadavatele je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Klikněte a doplňte text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email: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Klikněte a doplňte text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tel.č.: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Klikněte a doplňte text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Kontaktní osobu lze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měnit prostřednictvím e-mailu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po odsouhlasení změny druhou stranou.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3B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Závěrečná ustanovení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Tato smlouva se uzavírá na dobu určitou, a to do uzavření smlouvy na poslední veřejnou zakázku zadanou na základě dynamického nákupního systému, který je předmětem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se řídí právním řádem České republiky, zejména příslušnými ustanoveními OZ a ZZVZ. V případě vzniku sporů mezi smluvními stranami se tyto zavazují, že vynaloží veškeré úsilí, které lze spravedlivě požadovat k tomu, aby byly spory vyřešeny dohodou. V případě, kdy by se dohoda na řešení sporů ohledně práv a povinností smluvních stran vyplývajících z této smlouvy ukázala jako nemožná, budou spory vyřešeny v řízení před obecnými soudy České republiky.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Stane-li se jedno nebo více ujednání obsažené v této smlouvě neplatným, zůstávají ostatní ujednání v platnosti v plném znění a smluvní strany se zavazují k doplnění smlouvy.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jsou oprávněny smlouvu bez udání důvodu vypovědět. Výpovědní doba činí 3 měsíce a počíná běžet ode dne doručení výpovědi.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souhlasí s uveřejněním této smlouvy, a to v rozsahu a za podmínek vyplývajících z příslušných právních předpisů.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Skutečnosti uvedené v této Smlouvě nebudou smluvními stranami považovány za obchodní tajemství ve smyslu ustanovení § 504 OZ.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Smlouvu lze měnit a doplňovat pouze písemnými vzestupně číslovanými dodatky se souhlasem obou smluvních stran.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dnem podpisu oprávněných zástupců smluvních stran a účinnosti dnem uveřejnění v registru smluv podle zákona č. 340/2015 Sb., o zvláštních podmínkách účinnosti některých smluv, uveřejňování těchto smluv a o registru smluv ve znění pozdějších předpisů (dále jen „zákon o registru smluv“). Uveřejnění v registru smluv zajistí pověřující zadavatel.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vyhotovena ve dvou stejnopisech, každý s platností originálu, přičemž každá ze smluvních stran obdrží po jednom z nich. Toto ujednání se neuplatní v případě, pokud je smlouva podepisována elektronicky; v takovém případě každá ze stran obdrží totožné elektronické znění smlouvy s elektronickými podpisy obou smluvních stran.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prohlašují, že si smlouvu přečetly, s obsahem souhlasí, prohlašují, že tato smlouva nebyla uzavřena v tísni nebo na základě nevýhodných podmínek, kdy na důkaz jejich svobodné, pravé a vážné vůle připojují své podpisy.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542772245"/>
        <w:tag w:val="goog_rdk_0"/>
      </w:sdtPr>
      <w:sdtContent>
        <w:tbl>
          <w:tblPr>
            <w:tblStyle w:val="Table3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rtl w:val="0"/>
                  </w:rPr>
                  <w:t xml:space="preserve">V Praze dne dle data elektronického podpisu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after="0" w:line="240" w:lineRule="auto"/>
                  <w:rPr>
                    <w:rFonts w:ascii="Georgia" w:cs="Georgia" w:eastAsia="Georgia" w:hAnsi="Georgia"/>
                    <w:b w:val="1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rtl w:val="0"/>
                  </w:rPr>
                  <w:t xml:space="preserve">V Praze dne dle data elektronického podpisu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rtl w:val="0"/>
                  </w:rPr>
                  <w:t xml:space="preserve">………………………………………………………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rtl w:val="0"/>
                  </w:rPr>
                  <w:t xml:space="preserve">……………………………………………………………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spacing w:line="240" w:lineRule="auto"/>
                  <w:ind w:left="-141.73228346456688" w:right="-406.062992125984" w:firstLine="0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rtl w:val="0"/>
                  </w:rPr>
                  <w:t xml:space="preserve"> Technologická agentura České republiky</w:t>
                </w:r>
              </w:p>
              <w:p w:rsidR="00000000" w:rsidDel="00000000" w:rsidP="00000000" w:rsidRDefault="00000000" w:rsidRPr="00000000" w14:paraId="0000005D">
                <w:pPr>
                  <w:spacing w:line="240" w:lineRule="auto"/>
                  <w:ind w:left="-141.73228346456688" w:right="-406.062992125984" w:firstLine="0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rtl w:val="0"/>
                  </w:rPr>
                  <w:t xml:space="preserve"> Martin Bunček</w:t>
                </w:r>
              </w:p>
              <w:p w:rsidR="00000000" w:rsidDel="00000000" w:rsidP="00000000" w:rsidRDefault="00000000" w:rsidRPr="00000000" w14:paraId="0000005E">
                <w:pPr>
                  <w:spacing w:line="240" w:lineRule="auto"/>
                  <w:ind w:left="-141.73228346456688" w:right="-406.062992125984" w:firstLine="0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rtl w:val="0"/>
                  </w:rPr>
                  <w:t xml:space="preserve"> Ředitel Kanceláře TA ČR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1"/>
                  <w:tabs>
                    <w:tab w:val="left" w:leader="none" w:pos="227"/>
                    <w:tab w:val="left" w:leader="none" w:pos="454"/>
                    <w:tab w:val="left" w:leader="none" w:pos="680"/>
                    <w:tab w:val="left" w:leader="none" w:pos="907"/>
                    <w:tab w:val="left" w:leader="none" w:pos="1134"/>
                    <w:tab w:val="left" w:leader="none" w:pos="1361"/>
                    <w:tab w:val="left" w:leader="none" w:pos="1588"/>
                    <w:tab w:val="left" w:leader="none" w:pos="1814"/>
                    <w:tab w:val="left" w:leader="none" w:pos="2041"/>
                    <w:tab w:val="left" w:leader="none" w:pos="2268"/>
                  </w:tabs>
                  <w:spacing w:after="0" w:line="240" w:lineRule="auto"/>
                  <w:rPr>
                    <w:rFonts w:ascii="Georgia" w:cs="Georgia" w:eastAsia="Georgia" w:hAnsi="Georgia"/>
                    <w:highlight w:val="yellow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highlight w:val="yellow"/>
                    <w:rtl w:val="0"/>
                  </w:rPr>
                  <w:t xml:space="preserve">Klikněte a doplňte text</w:t>
                </w:r>
              </w:p>
              <w:p w:rsidR="00000000" w:rsidDel="00000000" w:rsidP="00000000" w:rsidRDefault="00000000" w:rsidRPr="00000000" w14:paraId="00000060">
                <w:pPr>
                  <w:keepNext w:val="1"/>
                  <w:tabs>
                    <w:tab w:val="left" w:leader="none" w:pos="227"/>
                    <w:tab w:val="left" w:leader="none" w:pos="454"/>
                    <w:tab w:val="left" w:leader="none" w:pos="680"/>
                    <w:tab w:val="left" w:leader="none" w:pos="907"/>
                    <w:tab w:val="left" w:leader="none" w:pos="1134"/>
                    <w:tab w:val="left" w:leader="none" w:pos="1361"/>
                    <w:tab w:val="left" w:leader="none" w:pos="1588"/>
                    <w:tab w:val="left" w:leader="none" w:pos="1814"/>
                    <w:tab w:val="left" w:leader="none" w:pos="2041"/>
                    <w:tab w:val="left" w:leader="none" w:pos="2268"/>
                  </w:tabs>
                  <w:spacing w:after="0" w:line="240" w:lineRule="auto"/>
                  <w:rPr>
                    <w:rFonts w:ascii="Georgia" w:cs="Georgia" w:eastAsia="Georgia" w:hAnsi="Georgia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keepNext w:val="1"/>
                  <w:tabs>
                    <w:tab w:val="left" w:leader="none" w:pos="227"/>
                    <w:tab w:val="left" w:leader="none" w:pos="454"/>
                    <w:tab w:val="left" w:leader="none" w:pos="680"/>
                    <w:tab w:val="left" w:leader="none" w:pos="907"/>
                    <w:tab w:val="left" w:leader="none" w:pos="1134"/>
                    <w:tab w:val="left" w:leader="none" w:pos="1361"/>
                    <w:tab w:val="left" w:leader="none" w:pos="1588"/>
                    <w:tab w:val="left" w:leader="none" w:pos="1814"/>
                    <w:tab w:val="left" w:leader="none" w:pos="2041"/>
                    <w:tab w:val="left" w:leader="none" w:pos="2268"/>
                  </w:tabs>
                  <w:spacing w:after="0" w:line="240" w:lineRule="auto"/>
                  <w:rPr>
                    <w:rFonts w:ascii="Georgia" w:cs="Georgia" w:eastAsia="Georgia" w:hAnsi="Georgia"/>
                    <w:highlight w:val="yellow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highlight w:val="yellow"/>
                    <w:rtl w:val="0"/>
                  </w:rPr>
                  <w:t xml:space="preserve">Klikněte a doplňte text</w:t>
                </w:r>
              </w:p>
              <w:p w:rsidR="00000000" w:rsidDel="00000000" w:rsidP="00000000" w:rsidRDefault="00000000" w:rsidRPr="00000000" w14:paraId="00000062">
                <w:pPr>
                  <w:keepNext w:val="1"/>
                  <w:tabs>
                    <w:tab w:val="left" w:leader="none" w:pos="227"/>
                    <w:tab w:val="left" w:leader="none" w:pos="454"/>
                    <w:tab w:val="left" w:leader="none" w:pos="680"/>
                    <w:tab w:val="left" w:leader="none" w:pos="907"/>
                    <w:tab w:val="left" w:leader="none" w:pos="1134"/>
                    <w:tab w:val="left" w:leader="none" w:pos="1361"/>
                    <w:tab w:val="left" w:leader="none" w:pos="1588"/>
                    <w:tab w:val="left" w:leader="none" w:pos="1814"/>
                    <w:tab w:val="left" w:leader="none" w:pos="2041"/>
                    <w:tab w:val="left" w:leader="none" w:pos="2268"/>
                  </w:tabs>
                  <w:spacing w:after="0" w:line="240" w:lineRule="auto"/>
                  <w:rPr>
                    <w:rFonts w:ascii="Georgia" w:cs="Georgia" w:eastAsia="Georgia" w:hAnsi="Georgia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keepNext w:val="1"/>
                  <w:tabs>
                    <w:tab w:val="left" w:leader="none" w:pos="227"/>
                    <w:tab w:val="left" w:leader="none" w:pos="454"/>
                    <w:tab w:val="left" w:leader="none" w:pos="680"/>
                    <w:tab w:val="left" w:leader="none" w:pos="907"/>
                    <w:tab w:val="left" w:leader="none" w:pos="1134"/>
                    <w:tab w:val="left" w:leader="none" w:pos="1361"/>
                    <w:tab w:val="left" w:leader="none" w:pos="1588"/>
                    <w:tab w:val="left" w:leader="none" w:pos="1814"/>
                    <w:tab w:val="left" w:leader="none" w:pos="2041"/>
                    <w:tab w:val="left" w:leader="none" w:pos="2268"/>
                  </w:tabs>
                  <w:spacing w:after="0" w:line="240" w:lineRule="auto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highlight w:val="yellow"/>
                    <w:rtl w:val="0"/>
                  </w:rPr>
                  <w:t xml:space="preserve">Klikněte a doplňte text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spacing w:line="240" w:lineRule="auto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b w:val="1"/>
                    <w:rtl w:val="0"/>
                  </w:rPr>
                  <w:t xml:space="preserve">Centrální zadavatel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spacing w:line="240" w:lineRule="auto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b w:val="1"/>
                    <w:rtl w:val="0"/>
                  </w:rPr>
                  <w:t xml:space="preserve">Pověřující zadavatel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6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-1171572</wp:posOffset>
          </wp:positionH>
          <wp:positionV relativeFrom="paragraph">
            <wp:posOffset>-449577</wp:posOffset>
          </wp:positionV>
          <wp:extent cx="1440000" cy="1440000"/>
          <wp:effectExtent b="0" l="0" r="0" t="0"/>
          <wp:wrapTopAndBottom distB="0" dist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%4 "/>
      <w:lvlJc w:val="left"/>
      <w:pPr>
        <w:ind w:left="0" w:firstLine="0"/>
      </w:pPr>
      <w:rPr>
        <w:b w:val="1"/>
        <w:i w:val="0"/>
      </w:rPr>
    </w:lvl>
    <w:lvl w:ilvl="4">
      <w:start w:val="1"/>
      <w:numFmt w:val="decimal"/>
      <w:lvlText w:val="%4.%5 "/>
      <w:lvlJc w:val="left"/>
      <w:pPr>
        <w:ind w:left="0" w:firstLine="0"/>
      </w:pPr>
      <w:rPr>
        <w:b w:val="1"/>
        <w:i w:val="0"/>
      </w:rPr>
    </w:lvl>
    <w:lvl w:ilvl="5">
      <w:start w:val="1"/>
      <w:numFmt w:val="decimal"/>
      <w:lvlText w:val="%4.%5.%6 "/>
      <w:lvlJc w:val="left"/>
      <w:pPr>
        <w:ind w:left="0" w:firstLine="0"/>
      </w:pPr>
      <w:rPr>
        <w:b w:val="1"/>
        <w:i w:val="0"/>
      </w:rPr>
    </w:lvl>
    <w:lvl w:ilvl="6">
      <w:start w:val="1"/>
      <w:numFmt w:val="decimal"/>
      <w:lvlText w:val="%4.%5.%6.%7 "/>
      <w:lvlJc w:val="left"/>
      <w:pPr>
        <w:ind w:left="0" w:firstLine="0"/>
      </w:pPr>
      <w:rPr>
        <w:b w:val="1"/>
        <w:i w:val="0"/>
      </w:rPr>
    </w:lvl>
    <w:lvl w:ilvl="7">
      <w:start w:val="1"/>
      <w:numFmt w:val="decimal"/>
      <w:lvlText w:val="%4.%5.%6.%7.%8 "/>
      <w:lvlJc w:val="left"/>
      <w:pPr>
        <w:ind w:left="0" w:firstLine="0"/>
      </w:pPr>
      <w:rPr>
        <w:b w:val="1"/>
        <w:i w:val="0"/>
      </w:rPr>
    </w:lvl>
    <w:lvl w:ilvl="8">
      <w:start w:val="1"/>
      <w:numFmt w:val="decimal"/>
      <w:lvlText w:val="%4.%5.%6.%7.%8.%9 "/>
      <w:lvlJc w:val="left"/>
      <w:pPr>
        <w:ind w:left="0" w:firstLine="0"/>
      </w:pPr>
      <w:rPr>
        <w:b w:val="1"/>
        <w:i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A62D6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A62D6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A62D6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A62D6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A62D6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A62D6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A62D6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A62D63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A62D63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A62D63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A62D63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A62D63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A62D6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link w:val="Podnadpis"/>
    <w:uiPriority w:val="11"/>
    <w:rsid w:val="00A62D6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A62D6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A62D63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A62D63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A62D63"/>
    <w:rPr>
      <w:i w:val="1"/>
      <w:iCs w:val="1"/>
      <w:color w:val="2f5496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A62D6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A62D63"/>
    <w:rPr>
      <w:i w:val="1"/>
      <w:iCs w:val="1"/>
      <w:color w:val="2f5496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A62D63"/>
    <w:rPr>
      <w:b w:val="1"/>
      <w:bCs w:val="1"/>
      <w:smallCaps w:val="1"/>
      <w:color w:val="2f5496" w:themeColor="accent1" w:themeShade="0000BF"/>
      <w:spacing w:val="5"/>
    </w:rPr>
  </w:style>
  <w:style w:type="paragraph" w:styleId="Zhlav">
    <w:name w:val="header"/>
    <w:basedOn w:val="Normln"/>
    <w:link w:val="ZhlavChar"/>
    <w:uiPriority w:val="99"/>
    <w:unhideWhenUsed w:val="1"/>
    <w:rsid w:val="00A62D6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A62D63"/>
  </w:style>
  <w:style w:type="paragraph" w:styleId="Zpat">
    <w:name w:val="footer"/>
    <w:basedOn w:val="Normln"/>
    <w:link w:val="ZpatChar"/>
    <w:uiPriority w:val="99"/>
    <w:unhideWhenUsed w:val="1"/>
    <w:rsid w:val="00A62D6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A62D63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A62D6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cs="Arial" w:eastAsia="Calibri" w:hAnsi="Georgia"/>
      <w:b w:val="1"/>
      <w:kern w:val="0"/>
      <w:szCs w:val="20"/>
    </w:rPr>
  </w:style>
  <w:style w:type="character" w:styleId="ZhlavzprvyChar" w:customStyle="1">
    <w:name w:val="Záhlaví zprávy Char"/>
    <w:aliases w:val="Crossheading (Czech Tourism) Char"/>
    <w:basedOn w:val="Standardnpsmoodstavce"/>
    <w:link w:val="Zhlavzprvy"/>
    <w:uiPriority w:val="99"/>
    <w:rsid w:val="00A62D63"/>
    <w:rPr>
      <w:rFonts w:ascii="Georgia" w:cs="Arial" w:eastAsia="Calibri" w:hAnsi="Georgia"/>
      <w:b w:val="1"/>
      <w:kern w:val="0"/>
      <w:szCs w:val="20"/>
    </w:rPr>
  </w:style>
  <w:style w:type="paragraph" w:styleId="TableTextCzechTourism" w:customStyle="1">
    <w:name w:val="Table Text (Czech Tourism)"/>
    <w:basedOn w:val="Normln"/>
    <w:uiPriority w:val="99"/>
    <w:rsid w:val="00A62D6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cs="Arial" w:eastAsia="Calibri" w:hAnsi="Arial"/>
      <w:kern w:val="0"/>
      <w:sz w:val="20"/>
      <w:szCs w:val="20"/>
    </w:rPr>
  </w:style>
  <w:style w:type="paragraph" w:styleId="Heading2CzechTourism" w:customStyle="1">
    <w:name w:val="Heading 2 (Czech Tourism)"/>
    <w:basedOn w:val="Nadpis2"/>
    <w:next w:val="Normln"/>
    <w:uiPriority w:val="99"/>
    <w:rsid w:val="00A62D63"/>
    <w:pPr>
      <w:keepNext w:val="0"/>
      <w:keepLines w:val="0"/>
      <w:numPr>
        <w:ilvl w:val="1"/>
        <w:numId w:val="3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before="260" w:line="260" w:lineRule="exact"/>
    </w:pPr>
    <w:rPr>
      <w:rFonts w:ascii="Georgia" w:cs="Arial" w:eastAsia="Calibri" w:hAnsi="Georgia"/>
      <w:b w:val="1"/>
      <w:color w:val="auto"/>
      <w:kern w:val="0"/>
      <w:sz w:val="22"/>
      <w:szCs w:val="22"/>
    </w:rPr>
  </w:style>
  <w:style w:type="paragraph" w:styleId="Heading3CzechTourism" w:customStyle="1">
    <w:name w:val="Heading 3 (Czech Tourism)"/>
    <w:basedOn w:val="Nadpis3"/>
    <w:next w:val="Normln"/>
    <w:uiPriority w:val="99"/>
    <w:semiHidden w:val="1"/>
    <w:rsid w:val="00A62D63"/>
    <w:pPr>
      <w:keepNext w:val="0"/>
      <w:keepLines w:val="0"/>
      <w:numPr>
        <w:numId w:val="1"/>
      </w:numPr>
      <w:tabs>
        <w:tab w:val="clear" w:pos="1209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before="260" w:line="260" w:lineRule="exact"/>
      <w:ind w:left="0" w:firstLine="0"/>
    </w:pPr>
    <w:rPr>
      <w:rFonts w:ascii="Georgia" w:cs="Arial" w:eastAsia="Calibri" w:hAnsi="Georgia"/>
      <w:color w:val="auto"/>
      <w:kern w:val="0"/>
      <w:sz w:val="22"/>
      <w:szCs w:val="22"/>
    </w:rPr>
  </w:style>
  <w:style w:type="numbering" w:styleId="Headings" w:customStyle="1">
    <w:name w:val="Headings"/>
    <w:rsid w:val="00A62D63"/>
    <w:pPr>
      <w:numPr>
        <w:numId w:val="2"/>
      </w:numPr>
    </w:pPr>
  </w:style>
  <w:style w:type="character" w:styleId="nowrap" w:customStyle="1">
    <w:name w:val="nowrap"/>
    <w:basedOn w:val="Standardnpsmoodstavce"/>
    <w:rsid w:val="00A62D63"/>
  </w:style>
  <w:style w:type="paragraph" w:styleId="Bezmezer">
    <w:name w:val="No Spacing"/>
    <w:uiPriority w:val="1"/>
    <w:qFormat w:val="1"/>
    <w:rsid w:val="00A62D63"/>
    <w:pPr>
      <w:spacing w:after="0" w:line="240" w:lineRule="auto"/>
    </w:pPr>
  </w:style>
  <w:style w:type="paragraph" w:styleId="pf0" w:customStyle="1">
    <w:name w:val="pf0"/>
    <w:basedOn w:val="Normln"/>
    <w:rsid w:val="0081216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cs-CZ"/>
    </w:rPr>
  </w:style>
  <w:style w:type="character" w:styleId="cf01" w:customStyle="1">
    <w:name w:val="cf01"/>
    <w:basedOn w:val="Standardnpsmoodstavce"/>
    <w:rsid w:val="0081216B"/>
    <w:rPr>
      <w:rFonts w:ascii="Segoe UI" w:cs="Segoe UI" w:hAnsi="Segoe UI" w:hint="default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0.0" w:type="dxa"/>
        <w:bottom w:w="57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85.0" w:type="dxa"/>
        <w:left w:w="0.0" w:type="dxa"/>
        <w:bottom w:w="57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85.0" w:type="dxa"/>
        <w:left w:w="0.0" w:type="dxa"/>
        <w:bottom w:w="57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85.0" w:type="dxa"/>
        <w:left w:w="0.0" w:type="dxa"/>
        <w:bottom w:w="57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0.0" w:type="dxa"/>
        <w:bottom w:w="57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85.0" w:type="dxa"/>
        <w:left w:w="0.0" w:type="dxa"/>
        <w:bottom w:w="57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OmoPRdUuzw6A7NF++DuYV1gbUQ==">CgMxLjAaHwoBMBIaChgICVIUChJ0YWJsZS4zb2IwMGo3eGlkZmI4AGonChRzdWdnZXN0LmY4dW1nM2tnb2VraBIPSmFrdWIgUG/FvsOhcmVraicKFHN1Z2dlc3QuZzIxcnd5MmprcWRuEg9KYWt1YiBQb8W+w6FyZWtqJwoUc3VnZ2VzdC45d3hnOGx2bmI1bmcSD0pha3ViIFBvxb7DoXJla3IhMUxqM0Y3ODRBbU9SLWVxY1YwVFp2MlBSS2hWc25ncl9y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2024-07-25T08:05:00Z</dcterms:created>
  <dc:creator>Hammerová Vaňkátová Věra</dc:creator>
</cp:coreProperties>
</file>